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中国共产党问责条例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caps w:val="0"/>
          <w:color w:val="333333"/>
          <w:spacing w:val="0"/>
          <w:sz w:val="32"/>
          <w:szCs w:val="32"/>
          <w:bdr w:val="none" w:color="auto" w:sz="0" w:space="0"/>
          <w:shd w:val="clear" w:fill="FFFFFF"/>
        </w:rPr>
        <w:t>　为了坚持党的领导，加强党的建设，全面从严治党，保证党的路线方针政策和党中央重大决策部署贯彻落实，规范和强化党的问责工作，根据《中国共产党章程》，制定本条例。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caps w:val="0"/>
          <w:color w:val="333333"/>
          <w:spacing w:val="0"/>
          <w:sz w:val="32"/>
          <w:szCs w:val="32"/>
          <w:bdr w:val="none" w:color="auto" w:sz="0" w:space="0"/>
          <w:shd w:val="clear" w:fill="FFFFFF"/>
        </w:rPr>
        <w:t>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caps w:val="0"/>
          <w:color w:val="333333"/>
          <w:spacing w:val="0"/>
          <w:sz w:val="32"/>
          <w:szCs w:val="32"/>
          <w:bdr w:val="none" w:color="auto" w:sz="0" w:space="0"/>
          <w:shd w:val="clear" w:fill="FFFFFF"/>
        </w:rPr>
        <w:t>　党的问责工作应当坚持以下原则：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（一）依规依纪、实事求是；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（二）失责必问、问责必严；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（三）权责一致、错责相当；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（四）严管和厚爱结合、激励和约束并重；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（五）惩前毖后、治病救人；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（六）集体决定、分清责任。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caps w:val="0"/>
          <w:color w:val="333333"/>
          <w:spacing w:val="0"/>
          <w:sz w:val="32"/>
          <w:szCs w:val="32"/>
          <w:bdr w:val="none" w:color="auto" w:sz="0" w:space="0"/>
          <w:shd w:val="clear" w:fill="FFFFFF"/>
        </w:rPr>
        <w:t>　党委（党组）应当履行全面从严治党主体责任，加强对本地区本部门本单位问责工作的领导，追究在党的建设、党的事业中失职失责党组织和党的领导干部的主体责任、监督责任、领导责任。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纪委应当履行监督专责，协助同级党委开展问责工作。纪委派驻（派出）机构按照职责权限开展问责工作。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党的工作机关应当依据职能履行监督职责，实施本机关本系统本领域的问责工作。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caps w:val="0"/>
          <w:color w:val="333333"/>
          <w:spacing w:val="0"/>
          <w:sz w:val="32"/>
          <w:szCs w:val="32"/>
          <w:bdr w:val="none" w:color="auto" w:sz="0" w:space="0"/>
          <w:shd w:val="clear" w:fill="FFFFFF"/>
        </w:rPr>
        <w:t>　问责对象是党组织、党的领导干部，重点是党委（党组）、党的工作机关及其领导成员，纪委、纪委派驻（派出）机构及其领导成员。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caps w:val="0"/>
          <w:color w:val="333333"/>
          <w:spacing w:val="0"/>
          <w:sz w:val="32"/>
          <w:szCs w:val="32"/>
          <w:bdr w:val="none" w:color="auto" w:sz="0" w:space="0"/>
          <w:shd w:val="clear" w:fill="FFFFFF"/>
        </w:rPr>
        <w:t>　问责应当分清责任。党组织领导班子在职责范围内负有全面领导责任，领导班子主要负责人和直接主管的班子成员在职责范围内承担主要领导责任，参与决策和工作的班子成员在职责范围内承担重要领导责任。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对党组织问责的，应当同时对该党组织中负有责任的领导班子成员进行问责。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党组织和党的领导干部应当坚持把自己摆进去、把职责摆进去、把工作摆进去，注重从自身找问题、查原因，勇于担当、敢于负责，不得向下级党组织和干部推卸责任。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caps w:val="0"/>
          <w:color w:val="333333"/>
          <w:spacing w:val="0"/>
          <w:sz w:val="32"/>
          <w:szCs w:val="32"/>
          <w:bdr w:val="none" w:color="auto" w:sz="0" w:space="0"/>
          <w:shd w:val="clear" w:fill="FFFFFF"/>
        </w:rPr>
        <w:t>　党组织、党的领导干部违反党章和其他党内法规，不履行或者不正确履行职责，有下列情形之一，应当予以问责：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（三）党的思想建设缺失，党性教育特别是理想信念宗旨教育流于形式，意识形态工作责任制落实不到位，造成严重后果或者恶劣影响的；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（六）党的纪律建设抓得不严，维护党的政治纪律、组织纪律、廉洁纪律、群众纪律、工作纪律、生活纪律不力，导致违规违纪行为多发，造成恶劣影响的；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推进党风廉政建设和反腐败斗争不坚决、不扎实，削减存量、遏制增量不力，特别是对不收敛、不收手，问题线索反映集中、群众反映强烈，政治问题和经济问题交织的腐败案件放任不管，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（九）履行管理、监督职责不力，职责范围内发生重特大生产安全事故、群体性事件、公共安全事件，或者发生其他严重事故、事件，造成重大损失或者恶劣影响的；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（十一）其他应当问责的失职失责情形。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caps w:val="0"/>
          <w:color w:val="333333"/>
          <w:spacing w:val="0"/>
          <w:sz w:val="32"/>
          <w:szCs w:val="32"/>
          <w:bdr w:val="none" w:color="auto" w:sz="0" w:space="0"/>
          <w:shd w:val="clear" w:fill="FFFFFF"/>
        </w:rPr>
        <w:t>　对党组织的问责，根据危害程度以及具体情况，可以采取以下方式：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（一）检查。责令作出书面检查并切实整改。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（二）通报。责令整改，并在一定范围内通报。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（三）改组。对失职失责，严重违犯党的纪律、本身又不能纠正的，应当予以改组。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对党的领导干部的问责，根据危害程度以及具体情况，可以采取以下方式：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（一）通报。进行严肃批评，责令作出书面检查、切实整改，并在一定范围内通报。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（二）诫勉。以谈话或者书面方式进行诫勉。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（三）组织调整或者组织处理。对失职失责、危害较重，不适宜担任现职的，应当根据情况采取停职检查、调整职务、责令辞职、免职、降职等措施。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（四）纪律处分。对失职失责、危害严重，应当给予纪律处分的，依照《中国共产党纪律处分条例》追究纪律责任。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上述问责方式，可以单独使用，也可以依据规定合并使用。问责方式有影响期的，按照有关规定执行。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caps w:val="0"/>
          <w:color w:val="333333"/>
          <w:spacing w:val="0"/>
          <w:sz w:val="32"/>
          <w:szCs w:val="32"/>
          <w:bdr w:val="none" w:color="auto" w:sz="0" w:space="0"/>
          <w:shd w:val="clear" w:fill="FFFFFF"/>
        </w:rPr>
        <w:t>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应当启动问责调查未及时启动的，上级党组织应当责令有管理权限的党组织启动。根据问题性质或者工作需要，上级党组织可以直接启动问责调查，也可以指定其他党组织启动。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对被立案审查的党组织、党的领导干部问责的，不再另行启动问责调查程序。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caps w:val="0"/>
          <w:color w:val="333333"/>
          <w:spacing w:val="0"/>
          <w:sz w:val="32"/>
          <w:szCs w:val="32"/>
          <w:bdr w:val="none" w:color="auto" w:sz="0" w:space="0"/>
          <w:shd w:val="clear" w:fill="FFFFFF"/>
        </w:rPr>
        <w:t>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caps w:val="0"/>
          <w:color w:val="333333"/>
          <w:spacing w:val="0"/>
          <w:sz w:val="32"/>
          <w:szCs w:val="32"/>
          <w:bdr w:val="none" w:color="auto" w:sz="0" w:space="0"/>
          <w:shd w:val="clear" w:fill="FFFFFF"/>
        </w:rPr>
        <w:t>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调查工作结束后，调查组应当集体讨论，形成调查报告，列明调查对象基本情况、调查依据、调查过程，问责事实，调查对象的态度、认识及其申辩，处理意见以及依据，由调查组组长以及有关人员签名后，履行审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caps w:val="0"/>
          <w:color w:val="333333"/>
          <w:spacing w:val="0"/>
          <w:sz w:val="32"/>
          <w:szCs w:val="32"/>
          <w:bdr w:val="none" w:color="auto" w:sz="0" w:space="0"/>
          <w:shd w:val="clear" w:fill="FFFFFF"/>
        </w:rPr>
        <w:t>　问责决定应当由有管理权限的党组织作出。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对同级党委直接领导的党组织，纪委和党的工作机关报经同级党委或者其主要负责人批准，可以采取检查、通报方式进行问责。采取改组方式问责的，按照党章和有关党内法规规定的权限、程序执行。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caps w:val="0"/>
          <w:color w:val="333333"/>
          <w:spacing w:val="0"/>
          <w:sz w:val="32"/>
          <w:szCs w:val="32"/>
          <w:bdr w:val="none" w:color="auto" w:sz="0" w:space="0"/>
          <w:shd w:val="clear" w:fill="FFFFFF"/>
        </w:rPr>
        <w:t>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caps w:val="0"/>
          <w:color w:val="333333"/>
          <w:spacing w:val="0"/>
          <w:sz w:val="32"/>
          <w:szCs w:val="32"/>
          <w:bdr w:val="none" w:color="auto" w:sz="0" w:space="0"/>
          <w:shd w:val="clear" w:fill="FFFFFF"/>
        </w:rPr>
        <w:t>　被问责党组织、被问责领导干部及其所在党组织应当深刻汲取教训，明确整改措施。作出问责决定的党组织应当加强督促检查，推动以案促改。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caps w:val="0"/>
          <w:color w:val="333333"/>
          <w:spacing w:val="0"/>
          <w:sz w:val="32"/>
          <w:szCs w:val="32"/>
          <w:bdr w:val="none" w:color="auto" w:sz="0" w:space="0"/>
          <w:shd w:val="clear" w:fill="FFFFFF"/>
        </w:rPr>
        <w:t>　需要对问责对象作出政务处分或者其他处理的，作出问责决定的党组织应当通报相关单位，相关单位应当及时处理并将结果通报或者报告作出问责决定的党组织。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第十六条</w:t>
      </w:r>
      <w:r>
        <w:rPr>
          <w:rFonts w:hint="eastAsia" w:ascii="仿宋_GB2312" w:hAnsi="仿宋_GB2312" w:eastAsia="仿宋_GB2312" w:cs="仿宋_GB2312"/>
          <w:i w:val="0"/>
          <w:caps w:val="0"/>
          <w:color w:val="333333"/>
          <w:spacing w:val="0"/>
          <w:sz w:val="32"/>
          <w:szCs w:val="32"/>
          <w:bdr w:val="none" w:color="auto" w:sz="0" w:space="0"/>
          <w:shd w:val="clear" w:fill="FFFFFF"/>
        </w:rPr>
        <w:t>　实行终身问责，对失职失责性质恶劣、后果严重的，不论其责任人是否调离转岗、提拔或者退休等，都应当严肃问责。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caps w:val="0"/>
          <w:color w:val="333333"/>
          <w:spacing w:val="0"/>
          <w:sz w:val="32"/>
          <w:szCs w:val="32"/>
          <w:bdr w:val="none" w:color="auto" w:sz="0" w:space="0"/>
          <w:shd w:val="clear" w:fill="FFFFFF"/>
        </w:rPr>
        <w:t>　有下列情形之一的，可以不予问责或者免予问责：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（一）在推进改革中因缺乏经验、先行先试出现的失误，尚无明确限制的探索性试验中的失误，为推动发展的无意过失；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（二）在集体决策中对错误决策提出明确反对意见或者保留意见的；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（三）在决策实施中已经履职尽责，但因不可抗力、难以预见等因素造成损失的。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对上级错误决定提出改正或者撤销意见未被采纳，而出现本条例第七条所列问责情形的，依照前款规定处理。上级错误决定明显违法违规的，应当承担相应的责任。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第十八条</w:t>
      </w:r>
      <w:r>
        <w:rPr>
          <w:rFonts w:hint="eastAsia" w:ascii="仿宋_GB2312" w:hAnsi="仿宋_GB2312" w:eastAsia="仿宋_GB2312" w:cs="仿宋_GB2312"/>
          <w:i w:val="0"/>
          <w:caps w:val="0"/>
          <w:color w:val="333333"/>
          <w:spacing w:val="0"/>
          <w:sz w:val="32"/>
          <w:szCs w:val="32"/>
          <w:bdr w:val="none" w:color="auto" w:sz="0" w:space="0"/>
          <w:shd w:val="clear" w:fill="FFFFFF"/>
        </w:rPr>
        <w:t>　有下列情形之一，可以从轻或者减轻问责：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（一）及时采取补救措施，有效挽回损失或者消除不良影响的；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（二）积极配合问责调查工作，主动承担责任的；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（三）党内法规规定的其他从轻、减轻情形。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caps w:val="0"/>
          <w:color w:val="333333"/>
          <w:spacing w:val="0"/>
          <w:sz w:val="32"/>
          <w:szCs w:val="32"/>
          <w:bdr w:val="none" w:color="auto" w:sz="0" w:space="0"/>
          <w:shd w:val="clear" w:fill="FFFFFF"/>
        </w:rPr>
        <w:t>　有下列情形之一，应当从重或者加重问责：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（一）对党中央、上级党组织三令五申的指示要求，不执行或者执行不力的；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（二）在接受问责调查和处理中，不如实报告情况，敷衍塞责、推卸责任，或者唆使、默许有关部门和人员弄虚作假，阻扰问责工作的；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（三）党内法规规定的其他从重、加重情形。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第二十条</w:t>
      </w:r>
      <w:r>
        <w:rPr>
          <w:rFonts w:hint="eastAsia" w:ascii="仿宋_GB2312" w:hAnsi="仿宋_GB2312" w:eastAsia="仿宋_GB2312" w:cs="仿宋_GB2312"/>
          <w:i w:val="0"/>
          <w:caps w:val="0"/>
          <w:color w:val="333333"/>
          <w:spacing w:val="0"/>
          <w:sz w:val="32"/>
          <w:szCs w:val="32"/>
          <w:bdr w:val="none" w:color="auto" w:sz="0" w:space="0"/>
          <w:shd w:val="clear" w:fill="FFFFFF"/>
        </w:rPr>
        <w:t>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申诉期间，不停止问责决定的执行。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i w:val="0"/>
          <w:caps w:val="0"/>
          <w:color w:val="333333"/>
          <w:spacing w:val="0"/>
          <w:sz w:val="32"/>
          <w:szCs w:val="32"/>
          <w:bdr w:val="none" w:color="auto" w:sz="0" w:space="0"/>
          <w:shd w:val="clear" w:fill="FFFFFF"/>
        </w:rPr>
        <w:t>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党组织、党的领导干部滥用问责，或者在问责工作中严重不负责任，造成不良影响的，应当严肃追究责任。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i w:val="0"/>
          <w:caps w:val="0"/>
          <w:color w:val="333333"/>
          <w:spacing w:val="0"/>
          <w:sz w:val="32"/>
          <w:szCs w:val="32"/>
          <w:bdr w:val="none" w:color="auto" w:sz="0" w:space="0"/>
          <w:shd w:val="clear" w:fill="FFFFFF"/>
        </w:rPr>
        <w:t>　正确对待被问责干部，对影响期满、表现好的干部，符合条件的，按照干部选拔任用有关规定正常使用。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i w:val="0"/>
          <w:caps w:val="0"/>
          <w:color w:val="333333"/>
          <w:spacing w:val="0"/>
          <w:sz w:val="32"/>
          <w:szCs w:val="32"/>
          <w:bdr w:val="none" w:color="auto" w:sz="0" w:space="0"/>
          <w:shd w:val="clear" w:fill="FFFFFF"/>
        </w:rPr>
        <w:t>　本条例所涉及的审批权限均指最低审批权限，工作中根据需要可以按照更高层级的审批权限报批。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i w:val="0"/>
          <w:caps w:val="0"/>
          <w:color w:val="333333"/>
          <w:spacing w:val="0"/>
          <w:sz w:val="32"/>
          <w:szCs w:val="32"/>
          <w:bdr w:val="none" w:color="auto" w:sz="0" w:space="0"/>
          <w:shd w:val="clear" w:fill="FFFFFF"/>
        </w:rPr>
        <w:t>　纪委派驻（派出）机构除执行本条例外，还应当执行党中央以及中央纪委相关规定。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i w:val="0"/>
          <w:caps w:val="0"/>
          <w:color w:val="333333"/>
          <w:spacing w:val="0"/>
          <w:sz w:val="32"/>
          <w:szCs w:val="32"/>
          <w:bdr w:val="none" w:color="auto" w:sz="0" w:space="0"/>
          <w:shd w:val="clear" w:fill="FFFFFF"/>
        </w:rPr>
        <w:t>　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i w:val="0"/>
          <w:caps w:val="0"/>
          <w:color w:val="333333"/>
          <w:spacing w:val="0"/>
          <w:sz w:val="32"/>
          <w:szCs w:val="32"/>
          <w:bdr w:val="none" w:color="auto" w:sz="0" w:space="0"/>
          <w:shd w:val="clear" w:fill="FFFFFF"/>
        </w:rPr>
        <w:t>　本条例由中央纪律检查委员会负责解释。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i w:val="0"/>
          <w:caps w:val="0"/>
          <w:color w:val="333333"/>
          <w:spacing w:val="0"/>
          <w:sz w:val="32"/>
          <w:szCs w:val="32"/>
          <w:bdr w:val="none" w:color="auto" w:sz="0" w:space="0"/>
          <w:shd w:val="clear" w:fill="FFFFFF"/>
        </w:rPr>
        <w:t>　本条例自2019年9月1日起施行。2016年7月8日中共中央印发的《中国共产党问责条例》同时废止。此前发布的有关问责的规定，凡与本条例不一致的，按照本条例执行。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E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2022-10-25T08:00:11Z</dcterms:created>
  <dc:creator>Administrator</dc:creator>
  <cp:lastModifiedBy>小李</cp:lastModifiedBy>
  <dcterms:modified xsi:type="dcterms:W3CDTF">2022-10-25T08:01:07Z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